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217" w:rsidRDefault="00FC0217">
      <w:pPr>
        <w:rPr>
          <w:rFonts w:hint="cs"/>
          <w:rtl/>
        </w:rPr>
      </w:pPr>
    </w:p>
    <w:p w:rsidR="0007308D" w:rsidRDefault="0007308D"/>
    <w:p w:rsidR="007A18F8" w:rsidRDefault="00FC0217" w:rsidP="00FC0217">
      <w:pPr>
        <w:jc w:val="center"/>
        <w:rPr>
          <w:rFonts w:hint="cs"/>
          <w:rtl/>
        </w:rPr>
      </w:pPr>
      <w:r>
        <w:rPr>
          <w:noProof/>
          <w:lang w:eastAsia="ru-RU"/>
        </w:rPr>
        <w:drawing>
          <wp:inline distT="0" distB="0" distL="0" distR="0">
            <wp:extent cx="3032911" cy="2025324"/>
            <wp:effectExtent l="0" t="0" r="0" b="0"/>
            <wp:docPr id="1" name="תמונה 1" descr="Круг, изображающий «непрерывный цикл улучшения для предотвращения крупных аварий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руг, изображающий «непрерывный цикл улучшения для предотвращения крупных аварий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44" cy="2026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308D" w:rsidRDefault="0007308D" w:rsidP="0007308D">
      <w:pPr>
        <w:jc w:val="center"/>
        <w:rPr>
          <w:rFonts w:ascii="David" w:hAnsi="David" w:cs="David" w:hint="cs"/>
          <w:b/>
          <w:bCs/>
          <w:sz w:val="28"/>
          <w:szCs w:val="28"/>
          <w:rtl/>
        </w:rPr>
      </w:pPr>
      <w:r w:rsidRPr="0007308D">
        <w:rPr>
          <w:rFonts w:ascii="David" w:hAnsi="David" w:cs="David"/>
          <w:b/>
          <w:bCs/>
          <w:sz w:val="28"/>
          <w:szCs w:val="28"/>
          <w:rtl/>
        </w:rPr>
        <w:t>מחזור שיפור מתמשך למניעת</w:t>
      </w:r>
      <w:r w:rsidR="00D85275">
        <w:rPr>
          <w:rFonts w:ascii="David" w:hAnsi="David" w:cs="David" w:hint="cs"/>
          <w:b/>
          <w:bCs/>
          <w:sz w:val="28"/>
          <w:szCs w:val="28"/>
          <w:rtl/>
        </w:rPr>
        <w:t xml:space="preserve"> תאונות גדולות</w:t>
      </w:r>
    </w:p>
    <w:p w:rsidR="00D85275" w:rsidRDefault="009F5AEA" w:rsidP="0007308D">
      <w:pPr>
        <w:jc w:val="center"/>
        <w:rPr>
          <w:rFonts w:ascii="David" w:hAnsi="David" w:cs="David" w:hint="cs"/>
          <w:b/>
          <w:bCs/>
          <w:sz w:val="28"/>
          <w:szCs w:val="28"/>
          <w:rtl/>
        </w:rPr>
      </w:pPr>
      <w:bookmarkStart w:id="0" w:name="_GoBack"/>
      <w:r>
        <w:rPr>
          <w:rFonts w:ascii="David" w:hAnsi="David" w:cs="David" w:hint="cs"/>
          <w:b/>
          <w:bCs/>
          <w:sz w:val="28"/>
          <w:szCs w:val="28"/>
          <w:rtl/>
        </w:rPr>
        <w:t>מניע</w:t>
      </w:r>
    </w:p>
    <w:bookmarkEnd w:id="0"/>
    <w:p w:rsidR="009F5AEA" w:rsidRDefault="009F5AEA" w:rsidP="0007308D">
      <w:pPr>
        <w:jc w:val="center"/>
        <w:rPr>
          <w:rFonts w:ascii="David" w:hAnsi="David" w:cs="David" w:hint="cs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הכנה</w:t>
      </w:r>
    </w:p>
    <w:p w:rsidR="009F5AEA" w:rsidRDefault="009F5AEA" w:rsidP="0007308D">
      <w:pPr>
        <w:jc w:val="center"/>
        <w:rPr>
          <w:rFonts w:ascii="David" w:hAnsi="David" w:cs="David" w:hint="cs"/>
          <w:b/>
          <w:bCs/>
          <w:sz w:val="28"/>
          <w:szCs w:val="28"/>
          <w:rtl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תגובה</w:t>
      </w:r>
    </w:p>
    <w:p w:rsidR="009F5AEA" w:rsidRPr="0007308D" w:rsidRDefault="009F5AEA" w:rsidP="0007308D">
      <w:pPr>
        <w:jc w:val="center"/>
        <w:rPr>
          <w:rFonts w:ascii="David" w:hAnsi="David" w:cs="David"/>
          <w:b/>
          <w:bCs/>
          <w:sz w:val="28"/>
          <w:szCs w:val="28"/>
        </w:rPr>
      </w:pPr>
      <w:r>
        <w:rPr>
          <w:rFonts w:ascii="David" w:hAnsi="David" w:cs="David" w:hint="cs"/>
          <w:b/>
          <w:bCs/>
          <w:sz w:val="28"/>
          <w:szCs w:val="28"/>
          <w:rtl/>
        </w:rPr>
        <w:t>למידה</w:t>
      </w:r>
    </w:p>
    <w:p w:rsidR="0007308D" w:rsidRDefault="0007308D" w:rsidP="00FC0217">
      <w:pPr>
        <w:jc w:val="center"/>
        <w:rPr>
          <w:rFonts w:ascii="David" w:hAnsi="David" w:cs="David" w:hint="cs"/>
          <w:b/>
          <w:bCs/>
          <w:sz w:val="28"/>
          <w:szCs w:val="28"/>
          <w:rtl/>
        </w:rPr>
      </w:pPr>
    </w:p>
    <w:p w:rsidR="0007308D" w:rsidRDefault="0007308D" w:rsidP="00FC0217">
      <w:pPr>
        <w:jc w:val="center"/>
        <w:rPr>
          <w:rFonts w:ascii="David" w:hAnsi="David" w:cs="David" w:hint="cs"/>
          <w:b/>
          <w:bCs/>
          <w:sz w:val="28"/>
          <w:szCs w:val="28"/>
          <w:rtl/>
        </w:rPr>
      </w:pPr>
    </w:p>
    <w:p w:rsidR="00FC0217" w:rsidRDefault="00FC0217" w:rsidP="00FC0217">
      <w:pPr>
        <w:jc w:val="center"/>
        <w:rPr>
          <w:rFonts w:ascii="David" w:hAnsi="David" w:cs="David" w:hint="cs"/>
          <w:b/>
          <w:bCs/>
          <w:sz w:val="28"/>
          <w:szCs w:val="28"/>
          <w:rtl/>
        </w:rPr>
      </w:pPr>
      <w:r w:rsidRPr="00FC0217">
        <w:rPr>
          <w:rFonts w:ascii="David" w:hAnsi="David" w:cs="David"/>
          <w:b/>
          <w:bCs/>
          <w:sz w:val="28"/>
          <w:szCs w:val="28"/>
          <w:rtl/>
        </w:rPr>
        <w:t>לולאת שיפור מתמיד עם ארבעה חיצים מעגליים המצביעים בכיוון השעון.</w:t>
      </w:r>
    </w:p>
    <w:p w:rsidR="00FC0217" w:rsidRDefault="00FC0217" w:rsidP="00FC0217">
      <w:pPr>
        <w:jc w:val="center"/>
        <w:rPr>
          <w:rFonts w:ascii="David" w:hAnsi="David" w:cs="David" w:hint="cs"/>
          <w:b/>
          <w:bCs/>
          <w:sz w:val="28"/>
          <w:szCs w:val="28"/>
          <w:rtl/>
        </w:rPr>
      </w:pPr>
      <w:r w:rsidRPr="00FC0217">
        <w:rPr>
          <w:rFonts w:ascii="David" w:hAnsi="David" w:cs="David"/>
          <w:b/>
          <w:bCs/>
          <w:sz w:val="28"/>
          <w:szCs w:val="28"/>
          <w:rtl/>
        </w:rPr>
        <w:t xml:space="preserve">החצים מסומנים "מניעה", "הכנה", "תגובה" ו"למידה" ומייצגים תהליך </w:t>
      </w:r>
      <w:r w:rsidR="00A2649B" w:rsidRPr="00FC0217">
        <w:rPr>
          <w:rFonts w:ascii="David" w:hAnsi="David" w:cs="David" w:hint="cs"/>
          <w:b/>
          <w:bCs/>
          <w:sz w:val="28"/>
          <w:szCs w:val="28"/>
          <w:rtl/>
        </w:rPr>
        <w:t>אטרקטיבי</w:t>
      </w:r>
      <w:r w:rsidRPr="00FC0217">
        <w:rPr>
          <w:rFonts w:ascii="David" w:hAnsi="David" w:cs="David"/>
          <w:b/>
          <w:bCs/>
          <w:sz w:val="28"/>
          <w:szCs w:val="28"/>
          <w:rtl/>
        </w:rPr>
        <w:t xml:space="preserve"> לשיפור ניהול האבטחה.</w:t>
      </w:r>
    </w:p>
    <w:p w:rsidR="00CE0A26" w:rsidRPr="00CE0A26" w:rsidRDefault="00CE0A26" w:rsidP="00CE0A26">
      <w:pPr>
        <w:bidi/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CE0A26">
        <w:rPr>
          <w:rFonts w:ascii="David" w:hAnsi="David" w:cs="David"/>
          <w:b/>
          <w:bCs/>
          <w:sz w:val="28"/>
          <w:szCs w:val="28"/>
          <w:rtl/>
        </w:rPr>
        <w:t xml:space="preserve">הנחיית </w:t>
      </w:r>
      <w:proofErr w:type="spellStart"/>
      <w:r w:rsidRPr="00CE0A26">
        <w:rPr>
          <w:rFonts w:ascii="David" w:hAnsi="David" w:cs="David"/>
          <w:b/>
          <w:bCs/>
          <w:sz w:val="28"/>
          <w:szCs w:val="28"/>
        </w:rPr>
        <w:t>Seveso</w:t>
      </w:r>
      <w:proofErr w:type="spellEnd"/>
      <w:r w:rsidRPr="00CE0A26">
        <w:rPr>
          <w:rFonts w:ascii="David" w:hAnsi="David" w:cs="David"/>
          <w:b/>
          <w:bCs/>
          <w:sz w:val="28"/>
          <w:szCs w:val="28"/>
          <w:rtl/>
        </w:rPr>
        <w:t xml:space="preserve"> משולבת היטב עם מדיניות אחרת של האיחוד האירופי, מונעת רגולציה כפולה או עומסים מנהליים אחרים. זה כולל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 </w:t>
      </w:r>
      <w:r w:rsidRPr="00CE0A26">
        <w:rPr>
          <w:rFonts w:ascii="David" w:hAnsi="David" w:cs="David"/>
          <w:b/>
          <w:bCs/>
          <w:sz w:val="28"/>
          <w:szCs w:val="28"/>
          <w:rtl/>
        </w:rPr>
        <w:t>סיווג, תיוג ואריזה של כימיקלים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CE0A26">
        <w:rPr>
          <w:rFonts w:ascii="David" w:hAnsi="David" w:cs="David"/>
          <w:b/>
          <w:bCs/>
          <w:sz w:val="28"/>
          <w:szCs w:val="28"/>
          <w:rtl/>
        </w:rPr>
        <w:t>מנגנון הגנה אזרחית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CE0A26">
        <w:rPr>
          <w:rFonts w:ascii="David" w:hAnsi="David" w:cs="David"/>
          <w:b/>
          <w:bCs/>
          <w:sz w:val="28"/>
          <w:szCs w:val="28"/>
          <w:rtl/>
        </w:rPr>
        <w:t>אחריות סביבתית</w:t>
      </w:r>
    </w:p>
    <w:p w:rsidR="00CE0A26" w:rsidRDefault="00CE0A26" w:rsidP="00CE0A26">
      <w:pPr>
        <w:spacing w:after="0"/>
        <w:jc w:val="right"/>
        <w:rPr>
          <w:rFonts w:ascii="David" w:hAnsi="David" w:cs="David" w:hint="cs"/>
          <w:b/>
          <w:bCs/>
          <w:sz w:val="28"/>
          <w:szCs w:val="28"/>
          <w:rtl/>
        </w:rPr>
      </w:pPr>
      <w:r w:rsidRPr="00CE0A26">
        <w:rPr>
          <w:rFonts w:ascii="David" w:hAnsi="David" w:cs="David"/>
          <w:b/>
          <w:bCs/>
          <w:sz w:val="28"/>
          <w:szCs w:val="28"/>
          <w:rtl/>
        </w:rPr>
        <w:t>הגנה על הסביבה באמצעות החוק הפלילי</w:t>
      </w:r>
      <w:r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CE0A26">
        <w:rPr>
          <w:rFonts w:ascii="David" w:hAnsi="David" w:cs="David"/>
          <w:b/>
          <w:bCs/>
          <w:sz w:val="28"/>
          <w:szCs w:val="28"/>
          <w:rtl/>
        </w:rPr>
        <w:t>בטיחות פעולות נפט וגז בים</w:t>
      </w:r>
      <w:r>
        <w:rPr>
          <w:rFonts w:ascii="David" w:hAnsi="David" w:cs="David" w:hint="cs"/>
          <w:b/>
          <w:bCs/>
          <w:sz w:val="28"/>
          <w:szCs w:val="28"/>
          <w:rtl/>
        </w:rPr>
        <w:t>.</w:t>
      </w:r>
    </w:p>
    <w:p w:rsidR="003930C1" w:rsidRDefault="003930C1" w:rsidP="00CE0A26">
      <w:pPr>
        <w:spacing w:after="0"/>
        <w:jc w:val="right"/>
        <w:rPr>
          <w:rFonts w:ascii="David" w:hAnsi="David" w:cs="David" w:hint="cs"/>
          <w:b/>
          <w:bCs/>
          <w:sz w:val="28"/>
          <w:szCs w:val="28"/>
          <w:rtl/>
        </w:rPr>
      </w:pPr>
    </w:p>
    <w:p w:rsidR="003930C1" w:rsidRPr="003930C1" w:rsidRDefault="003930C1" w:rsidP="003930C1">
      <w:pPr>
        <w:bidi/>
        <w:spacing w:after="0"/>
        <w:rPr>
          <w:rFonts w:ascii="David" w:hAnsi="David" w:cs="David"/>
          <w:b/>
          <w:bCs/>
          <w:sz w:val="28"/>
          <w:szCs w:val="28"/>
        </w:rPr>
      </w:pPr>
      <w:r w:rsidRPr="003930C1">
        <w:rPr>
          <w:rFonts w:ascii="David" w:hAnsi="David" w:cs="David"/>
          <w:b/>
          <w:bCs/>
          <w:sz w:val="28"/>
          <w:szCs w:val="28"/>
          <w:rtl/>
        </w:rPr>
        <w:t xml:space="preserve">דירקטיבת </w:t>
      </w:r>
      <w:proofErr w:type="spellStart"/>
      <w:r w:rsidRPr="003930C1">
        <w:rPr>
          <w:rFonts w:ascii="David" w:hAnsi="David" w:cs="David"/>
          <w:b/>
          <w:bCs/>
          <w:sz w:val="28"/>
          <w:szCs w:val="28"/>
          <w:rtl/>
        </w:rPr>
        <w:t>סווסו</w:t>
      </w:r>
      <w:proofErr w:type="spellEnd"/>
      <w:r w:rsidRPr="003930C1">
        <w:rPr>
          <w:rFonts w:ascii="David" w:hAnsi="David" w:cs="David"/>
          <w:b/>
          <w:bCs/>
          <w:sz w:val="28"/>
          <w:szCs w:val="28"/>
          <w:rtl/>
        </w:rPr>
        <w:t xml:space="preserve"> - </w:t>
      </w:r>
      <w:proofErr w:type="spellStart"/>
      <w:r w:rsidRPr="003930C1">
        <w:rPr>
          <w:rFonts w:ascii="David" w:hAnsi="David" w:cs="David"/>
          <w:b/>
          <w:bCs/>
          <w:sz w:val="28"/>
          <w:szCs w:val="28"/>
        </w:rPr>
        <w:t>Seveso-Directive</w:t>
      </w:r>
      <w:proofErr w:type="spellEnd"/>
      <w:r w:rsidRPr="003930C1">
        <w:rPr>
          <w:rFonts w:ascii="David" w:hAnsi="David" w:cs="David"/>
          <w:b/>
          <w:bCs/>
          <w:sz w:val="28"/>
          <w:szCs w:val="28"/>
          <w:rtl/>
        </w:rPr>
        <w:t>: מדיניות האיחוד האירופי בכל הנוגע לסיווג, אחסון ושימוש בחומרים ובכימיקלים מסוכנים. ההוראה עוסקת בדרכי מניעה, היערכות ותגובה לאירועי חומרים מסוכנים.</w:t>
      </w:r>
    </w:p>
    <w:p w:rsidR="003930C1" w:rsidRPr="003930C1" w:rsidRDefault="003930C1" w:rsidP="003930C1">
      <w:pPr>
        <w:spacing w:after="0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930C1">
        <w:rPr>
          <w:rFonts w:ascii="David" w:hAnsi="David" w:cs="David"/>
          <w:b/>
          <w:bCs/>
          <w:sz w:val="28"/>
          <w:szCs w:val="28"/>
          <w:rtl/>
        </w:rPr>
        <w:t xml:space="preserve">דירקטיבת </w:t>
      </w:r>
      <w:proofErr w:type="spellStart"/>
      <w:r w:rsidRPr="003930C1">
        <w:rPr>
          <w:rFonts w:ascii="David" w:hAnsi="David" w:cs="David"/>
          <w:b/>
          <w:bCs/>
          <w:sz w:val="28"/>
          <w:szCs w:val="28"/>
          <w:rtl/>
        </w:rPr>
        <w:t>סווסו</w:t>
      </w:r>
      <w:proofErr w:type="spellEnd"/>
      <w:r w:rsidRPr="003930C1">
        <w:rPr>
          <w:rFonts w:ascii="David" w:hAnsi="David" w:cs="David"/>
          <w:b/>
          <w:bCs/>
          <w:sz w:val="28"/>
          <w:szCs w:val="28"/>
          <w:rtl/>
        </w:rPr>
        <w:t xml:space="preserve"> חלה על יותר מ-10,000 מפעלי תעשייה באיחוד האירופי שמשתמשים או מחזיקים חומרים מסוכנים בכמויות גדולות. מרבית המפעלים האלה משתייכים לענפי הכימיה, הפטרוכימיה, הלוגיסטיקה וזיקוק המתכת.</w:t>
      </w:r>
    </w:p>
    <w:p w:rsidR="003930C1" w:rsidRPr="003930C1" w:rsidRDefault="003930C1" w:rsidP="003930C1">
      <w:pPr>
        <w:bidi/>
        <w:spacing w:after="0"/>
        <w:rPr>
          <w:rFonts w:ascii="David" w:hAnsi="David" w:cs="David"/>
          <w:b/>
          <w:bCs/>
          <w:sz w:val="28"/>
          <w:szCs w:val="28"/>
          <w:rtl/>
        </w:rPr>
      </w:pPr>
      <w:r w:rsidRPr="003930C1">
        <w:rPr>
          <w:rFonts w:ascii="David" w:hAnsi="David" w:cs="David"/>
          <w:b/>
          <w:bCs/>
          <w:sz w:val="28"/>
          <w:szCs w:val="28"/>
          <w:rtl/>
        </w:rPr>
        <w:t xml:space="preserve">ההוראה נקראת על שם אסון שהתרחש באיטליה ב-1976, ליד הכפר </w:t>
      </w:r>
      <w:proofErr w:type="spellStart"/>
      <w:r w:rsidRPr="003930C1">
        <w:rPr>
          <w:rFonts w:ascii="David" w:hAnsi="David" w:cs="David"/>
          <w:b/>
          <w:bCs/>
          <w:sz w:val="28"/>
          <w:szCs w:val="28"/>
          <w:rtl/>
        </w:rPr>
        <w:t>סווסו</w:t>
      </w:r>
      <w:proofErr w:type="spellEnd"/>
      <w:r w:rsidRPr="003930C1">
        <w:rPr>
          <w:rFonts w:ascii="David" w:hAnsi="David" w:cs="David"/>
          <w:b/>
          <w:bCs/>
          <w:sz w:val="28"/>
          <w:szCs w:val="28"/>
          <w:rtl/>
        </w:rPr>
        <w:t xml:space="preserve"> (</w:t>
      </w:r>
      <w:proofErr w:type="spellStart"/>
      <w:r w:rsidRPr="003930C1">
        <w:rPr>
          <w:rFonts w:ascii="David" w:hAnsi="David" w:cs="David"/>
          <w:b/>
          <w:bCs/>
          <w:sz w:val="28"/>
          <w:szCs w:val="28"/>
        </w:rPr>
        <w:t>Seveso</w:t>
      </w:r>
      <w:proofErr w:type="spellEnd"/>
      <w:r w:rsidRPr="003930C1">
        <w:rPr>
          <w:rFonts w:ascii="David" w:hAnsi="David" w:cs="David"/>
          <w:b/>
          <w:bCs/>
          <w:sz w:val="28"/>
          <w:szCs w:val="28"/>
          <w:rtl/>
        </w:rPr>
        <w:t xml:space="preserve">). האסון התרחש בעקבות דליפה ענקית של החומר המסוכן </w:t>
      </w:r>
      <w:proofErr w:type="spellStart"/>
      <w:r w:rsidRPr="003930C1">
        <w:rPr>
          <w:rFonts w:ascii="David" w:hAnsi="David" w:cs="David"/>
          <w:b/>
          <w:bCs/>
          <w:sz w:val="28"/>
          <w:szCs w:val="28"/>
          <w:rtl/>
        </w:rPr>
        <w:t>טטרה</w:t>
      </w:r>
      <w:proofErr w:type="spellEnd"/>
      <w:r w:rsidRPr="003930C1">
        <w:rPr>
          <w:rFonts w:ascii="David" w:hAnsi="David" w:cs="David"/>
          <w:b/>
          <w:bCs/>
          <w:sz w:val="28"/>
          <w:szCs w:val="28"/>
          <w:rtl/>
        </w:rPr>
        <w:t xml:space="preserve"> כלורו </w:t>
      </w:r>
      <w:proofErr w:type="spellStart"/>
      <w:r w:rsidRPr="003930C1">
        <w:rPr>
          <w:rFonts w:ascii="David" w:hAnsi="David" w:cs="David"/>
          <w:b/>
          <w:bCs/>
          <w:sz w:val="28"/>
          <w:szCs w:val="28"/>
          <w:rtl/>
        </w:rPr>
        <w:t>דיבנז</w:t>
      </w:r>
      <w:r>
        <w:rPr>
          <w:rFonts w:ascii="David" w:hAnsi="David" w:cs="David" w:hint="cs"/>
          <w:b/>
          <w:bCs/>
          <w:sz w:val="28"/>
          <w:szCs w:val="28"/>
          <w:rtl/>
        </w:rPr>
        <w:t>ן</w:t>
      </w:r>
      <w:proofErr w:type="spellEnd"/>
      <w:r w:rsidRPr="003930C1">
        <w:rPr>
          <w:rFonts w:ascii="David" w:hAnsi="David" w:cs="David"/>
          <w:b/>
          <w:bCs/>
          <w:sz w:val="28"/>
          <w:szCs w:val="28"/>
          <w:rtl/>
        </w:rPr>
        <w:t>, אשר גרמה למאות אנשים לחלות, בעיקר במחלות עור. בנוסף, כ- 3,300 בעלי חיים מתו בעקבות הדליפה, ועוד 80,000 נשחתו על כחלק מהמאמץ למנוע המשך הרעלה בשרשרת המזון. </w:t>
      </w:r>
    </w:p>
    <w:p w:rsidR="003930C1" w:rsidRPr="003930C1" w:rsidRDefault="003930C1" w:rsidP="003930C1">
      <w:pPr>
        <w:spacing w:after="0"/>
        <w:jc w:val="right"/>
        <w:rPr>
          <w:rFonts w:ascii="David" w:hAnsi="David" w:cs="David"/>
          <w:b/>
          <w:bCs/>
          <w:sz w:val="28"/>
          <w:szCs w:val="28"/>
          <w:rtl/>
        </w:rPr>
      </w:pPr>
      <w:r w:rsidRPr="003930C1">
        <w:rPr>
          <w:rFonts w:ascii="David" w:hAnsi="David" w:cs="David"/>
          <w:b/>
          <w:bCs/>
          <w:sz w:val="28"/>
          <w:szCs w:val="28"/>
          <w:rtl/>
        </w:rPr>
        <w:t xml:space="preserve">הוראת </w:t>
      </w:r>
      <w:proofErr w:type="spellStart"/>
      <w:r w:rsidRPr="003930C1">
        <w:rPr>
          <w:rFonts w:ascii="David" w:hAnsi="David" w:cs="David"/>
          <w:b/>
          <w:bCs/>
          <w:sz w:val="28"/>
          <w:szCs w:val="28"/>
          <w:rtl/>
        </w:rPr>
        <w:t>סווסו</w:t>
      </w:r>
      <w:proofErr w:type="spellEnd"/>
      <w:r w:rsidRPr="003930C1">
        <w:rPr>
          <w:rFonts w:ascii="David" w:hAnsi="David" w:cs="David"/>
          <w:b/>
          <w:bCs/>
          <w:sz w:val="28"/>
          <w:szCs w:val="28"/>
          <w:rtl/>
        </w:rPr>
        <w:t xml:space="preserve"> נחשבת כאמת מידה למדיניות בתחום תאונות תעשייתיות ושימשה מודל לחיקוי של חקיקה במדינות רבות בעולם.</w:t>
      </w:r>
    </w:p>
    <w:p w:rsidR="003930C1" w:rsidRPr="00CE0A26" w:rsidRDefault="003930C1" w:rsidP="00CE0A26">
      <w:pPr>
        <w:spacing w:after="0"/>
        <w:jc w:val="right"/>
        <w:rPr>
          <w:rFonts w:ascii="David" w:hAnsi="David" w:cs="David"/>
          <w:b/>
          <w:bCs/>
          <w:sz w:val="28"/>
          <w:szCs w:val="28"/>
        </w:rPr>
      </w:pPr>
    </w:p>
    <w:p w:rsidR="00705F26" w:rsidRPr="00FC0217" w:rsidRDefault="00705F26" w:rsidP="00CE0A26">
      <w:pPr>
        <w:spacing w:after="0"/>
        <w:jc w:val="right"/>
        <w:rPr>
          <w:rFonts w:ascii="David" w:hAnsi="David" w:cs="David"/>
          <w:b/>
          <w:bCs/>
          <w:sz w:val="28"/>
          <w:szCs w:val="28"/>
        </w:rPr>
      </w:pPr>
    </w:p>
    <w:p w:rsidR="00FC0217" w:rsidRPr="00FC0217" w:rsidRDefault="00FC0217" w:rsidP="00FC0217">
      <w:pPr>
        <w:jc w:val="right"/>
      </w:pPr>
    </w:p>
    <w:sectPr w:rsidR="00FC0217" w:rsidRPr="00FC0217" w:rsidSect="00D578B3">
      <w:type w:val="continuous"/>
      <w:pgSz w:w="11910" w:h="16840" w:code="9"/>
      <w:pgMar w:top="1162" w:right="420" w:bottom="941" w:left="0" w:header="709" w:footer="743" w:gutter="0"/>
      <w:cols w:space="708"/>
      <w:bidi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217"/>
    <w:rsid w:val="0007308D"/>
    <w:rsid w:val="003930C1"/>
    <w:rsid w:val="004A16E8"/>
    <w:rsid w:val="00575EEC"/>
    <w:rsid w:val="00705F26"/>
    <w:rsid w:val="007B50AF"/>
    <w:rsid w:val="007F4160"/>
    <w:rsid w:val="00813583"/>
    <w:rsid w:val="009F5AEA"/>
    <w:rsid w:val="00A2649B"/>
    <w:rsid w:val="00CE0A26"/>
    <w:rsid w:val="00D578B3"/>
    <w:rsid w:val="00D85275"/>
    <w:rsid w:val="00FC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C02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FC02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9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2024-01-05T16:59:00Z</dcterms:created>
  <dcterms:modified xsi:type="dcterms:W3CDTF">2024-01-06T12:33:00Z</dcterms:modified>
</cp:coreProperties>
</file>